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42DF2679" w:rsidR="00425991" w:rsidRPr="00CE0424" w:rsidRDefault="00425991" w:rsidP="00425991">
      <w:pPr>
        <w:pStyle w:val="3GPPHeader"/>
        <w:spacing w:after="60"/>
        <w:rPr>
          <w:sz w:val="32"/>
          <w:szCs w:val="32"/>
          <w:highlight w:val="yellow"/>
        </w:rPr>
      </w:pPr>
      <w:bookmarkStart w:id="0" w:name="_GoBack"/>
      <w:bookmarkEnd w:id="0"/>
      <w:r w:rsidRPr="00CE0424">
        <w:t>3GPP TSG-RAN WG</w:t>
      </w:r>
      <w:r>
        <w:t>1</w:t>
      </w:r>
      <w:r w:rsidRPr="00CE0424">
        <w:t xml:space="preserve"> </w:t>
      </w:r>
      <w:r w:rsidR="00BA5E10">
        <w:t>Meeting #88</w:t>
      </w:r>
      <w:r w:rsidRPr="00CE0424">
        <w:tab/>
      </w:r>
      <w:r w:rsidR="006271A3" w:rsidRPr="006271A3">
        <w:rPr>
          <w:sz w:val="32"/>
          <w:szCs w:val="32"/>
        </w:rPr>
        <w:t>R1-1</w:t>
      </w:r>
      <w:r w:rsidR="00390C1B">
        <w:rPr>
          <w:sz w:val="32"/>
          <w:szCs w:val="32"/>
        </w:rPr>
        <w:t>70</w:t>
      </w:r>
      <w:r w:rsidR="00FA5985">
        <w:rPr>
          <w:sz w:val="32"/>
          <w:szCs w:val="32"/>
        </w:rPr>
        <w:t>2125</w:t>
      </w:r>
      <w:r w:rsidR="00390C1B">
        <w:rPr>
          <w:sz w:val="32"/>
          <w:szCs w:val="32"/>
        </w:rPr>
        <w:t xml:space="preserve"> </w:t>
      </w:r>
    </w:p>
    <w:p w14:paraId="7E65EF0C" w14:textId="3AC6A7F5" w:rsidR="00425991" w:rsidRDefault="00BA5E10" w:rsidP="00425991">
      <w:pPr>
        <w:pStyle w:val="CRCoverPage"/>
        <w:outlineLvl w:val="0"/>
        <w:rPr>
          <w:b/>
          <w:noProof/>
          <w:sz w:val="24"/>
        </w:rPr>
      </w:pPr>
      <w:r>
        <w:rPr>
          <w:b/>
          <w:noProof/>
          <w:sz w:val="24"/>
        </w:rPr>
        <w:t xml:space="preserve">Athens, Greece, </w:t>
      </w:r>
      <w:r w:rsidR="00425991">
        <w:rPr>
          <w:b/>
          <w:noProof/>
          <w:sz w:val="24"/>
        </w:rPr>
        <w:t>1</w:t>
      </w:r>
      <w:r>
        <w:rPr>
          <w:b/>
          <w:noProof/>
          <w:sz w:val="24"/>
        </w:rPr>
        <w:t>3</w:t>
      </w:r>
      <w:r w:rsidR="00425991" w:rsidRPr="00BD6748">
        <w:rPr>
          <w:b/>
          <w:noProof/>
          <w:sz w:val="24"/>
          <w:vertAlign w:val="superscript"/>
        </w:rPr>
        <w:t>th</w:t>
      </w:r>
      <w:r w:rsidR="00425991">
        <w:rPr>
          <w:b/>
          <w:noProof/>
          <w:sz w:val="24"/>
        </w:rPr>
        <w:t xml:space="preserve">- </w:t>
      </w:r>
      <w:r>
        <w:rPr>
          <w:b/>
          <w:noProof/>
          <w:sz w:val="24"/>
        </w:rPr>
        <w:t>17</w:t>
      </w:r>
      <w:r w:rsidR="00425991" w:rsidRPr="00BD6748">
        <w:rPr>
          <w:b/>
          <w:noProof/>
          <w:sz w:val="24"/>
          <w:vertAlign w:val="superscript"/>
        </w:rPr>
        <w:t>th</w:t>
      </w:r>
      <w:r w:rsidR="006304C5">
        <w:rPr>
          <w:b/>
          <w:noProof/>
          <w:sz w:val="24"/>
        </w:rPr>
        <w:t xml:space="preserve"> </w:t>
      </w:r>
      <w:r>
        <w:rPr>
          <w:b/>
          <w:noProof/>
          <w:sz w:val="24"/>
        </w:rPr>
        <w:t>Febr</w:t>
      </w:r>
      <w:r w:rsidR="006304C5">
        <w:rPr>
          <w:b/>
          <w:noProof/>
          <w:sz w:val="24"/>
        </w:rPr>
        <w:t>uary 2017</w:t>
      </w:r>
    </w:p>
    <w:p w14:paraId="5FE9F370" w14:textId="77777777" w:rsidR="00E90E49" w:rsidRPr="00CE0424" w:rsidRDefault="00E90E49" w:rsidP="00357380">
      <w:pPr>
        <w:pStyle w:val="3GPPHeader"/>
      </w:pPr>
    </w:p>
    <w:p w14:paraId="2D2CF31E" w14:textId="4237D9E5"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BA5E10">
        <w:rPr>
          <w:sz w:val="22"/>
          <w:szCs w:val="22"/>
          <w:lang w:val="en-US"/>
        </w:rPr>
        <w:t>8.1.1.2.1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5908268" w:rsidR="00E90E49" w:rsidRPr="00CE0424" w:rsidRDefault="003D3C45" w:rsidP="00311702">
      <w:pPr>
        <w:pStyle w:val="3GPPHeader"/>
        <w:rPr>
          <w:sz w:val="22"/>
          <w:szCs w:val="22"/>
        </w:rPr>
      </w:pPr>
      <w:r>
        <w:rPr>
          <w:sz w:val="22"/>
          <w:szCs w:val="22"/>
        </w:rPr>
        <w:t>Title:</w:t>
      </w:r>
      <w:r w:rsidR="00E90E49" w:rsidRPr="00CE0424">
        <w:rPr>
          <w:sz w:val="22"/>
          <w:szCs w:val="22"/>
        </w:rPr>
        <w:tab/>
      </w:r>
      <w:r w:rsidR="00FA5985" w:rsidRPr="00FA5985">
        <w:rPr>
          <w:sz w:val="22"/>
          <w:szCs w:val="22"/>
        </w:rPr>
        <w:t>NR delivery of remaining system information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501D4EF" w:rsidR="00E30225" w:rsidRDefault="00E30225" w:rsidP="00E30225">
      <w:pPr>
        <w:pStyle w:val="Heading1"/>
      </w:pPr>
      <w:r w:rsidRPr="00CE0424">
        <w:t>Introduction</w:t>
      </w:r>
    </w:p>
    <w:p w14:paraId="6252B8C7" w14:textId="10B28E42" w:rsidR="0012133C" w:rsidRPr="0012133C" w:rsidRDefault="0012133C" w:rsidP="0012133C">
      <w:r>
        <w:t xml:space="preserve">RAN1 has already agreed to have a NR-PBCH with a fixed payload. As discussed in </w:t>
      </w:r>
      <w:r>
        <w:fldChar w:fldCharType="begin"/>
      </w:r>
      <w:r>
        <w:instrText xml:space="preserve"> REF _Ref473906658 \r \h </w:instrText>
      </w:r>
      <w:r>
        <w:fldChar w:fldCharType="separate"/>
      </w:r>
      <w:r w:rsidR="00B75861">
        <w:t>[1]</w:t>
      </w:r>
      <w:r>
        <w:fldChar w:fldCharType="end"/>
      </w:r>
      <w:r>
        <w:t xml:space="preserve">, this implies that not all minimum system information can be broadcast on the NR-PBCH. In this contribution, we discuss further the delivery of the remaining minimum system information. </w:t>
      </w:r>
    </w:p>
    <w:p w14:paraId="0B82F78A" w14:textId="2C3A1A9C" w:rsidR="0015001A" w:rsidRDefault="003B7289" w:rsidP="00B04341">
      <w:pPr>
        <w:pStyle w:val="Heading1"/>
      </w:pPr>
      <w:r>
        <w:t>On demand delivery of minimum system information</w:t>
      </w:r>
    </w:p>
    <w:p w14:paraId="57BBF9B2" w14:textId="77E2EBAC" w:rsidR="00BD6D4C" w:rsidRDefault="0012133C" w:rsidP="00A80BF1">
      <w:bookmarkStart w:id="1" w:name="_Ref465847748"/>
      <w:r>
        <w:t xml:space="preserve">There is a proposal for delivering the </w:t>
      </w:r>
      <w:r w:rsidRPr="0012133C">
        <w:t xml:space="preserve">remaining minimum system information </w:t>
      </w:r>
      <w:r>
        <w:t xml:space="preserve">on-demand, where the UE acquires the needed information </w:t>
      </w:r>
      <w:r w:rsidR="00534EEB">
        <w:t xml:space="preserve">from the NR-PBCH </w:t>
      </w:r>
      <w:r>
        <w:t xml:space="preserve">to perform the random access procedure, performs the random access procedure and the network then delivers the remaining minimum system information </w:t>
      </w:r>
      <w:r w:rsidR="00BD6D4C">
        <w:t xml:space="preserve">for example through dedicated signalling or by turning on the broadcast of the remaining minimum system information. </w:t>
      </w:r>
    </w:p>
    <w:p w14:paraId="1B2341D4" w14:textId="6B30812E" w:rsidR="00BD6D4C" w:rsidRDefault="00BD6D4C" w:rsidP="00A80BF1">
      <w:r>
        <w:t xml:space="preserve">Before a UE can start the random access procedure, it needs to know that it is allowed to access the given cell. With on-demand delivery of minimum system information, this means that in addition to the PRACH configuration, the PLMNID(s) and the cell barring information needs to be broadcast on the NR-PBCH. Otherwise, all UEs finding the cell would need to perform the random access procedure to find out if it is allowed to access the cell which is highly undesirable.  </w:t>
      </w:r>
    </w:p>
    <w:p w14:paraId="309B72AE" w14:textId="2E4E869B" w:rsidR="00164D43" w:rsidRDefault="00BB5943" w:rsidP="00A80BF1">
      <w:r>
        <w:t>M</w:t>
      </w:r>
      <w:r w:rsidR="00164D43">
        <w:t xml:space="preserve">ultiple PLMNIDs are already supported </w:t>
      </w:r>
      <w:r>
        <w:t xml:space="preserve">in LTE </w:t>
      </w:r>
      <w:r w:rsidR="00164D43">
        <w:t xml:space="preserve">and with </w:t>
      </w:r>
      <w:r w:rsidR="00E43713">
        <w:t>a</w:t>
      </w:r>
      <w:r w:rsidR="00164D43">
        <w:t>ddition</w:t>
      </w:r>
      <w:r w:rsidR="00723C07">
        <w:t>al</w:t>
      </w:r>
      <w:r w:rsidR="00164D43">
        <w:t xml:space="preserve"> support for third party hosting in NR, even more PLMNIDs need to be signalled where each PLMNID is in the order of 24 bits</w:t>
      </w:r>
      <w:r w:rsidR="00B87DDC">
        <w:fldChar w:fldCharType="begin"/>
      </w:r>
      <w:r w:rsidR="00B87DDC">
        <w:instrText xml:space="preserve"> REF _Ref474173944 \r \h </w:instrText>
      </w:r>
      <w:r w:rsidR="00B87DDC">
        <w:fldChar w:fldCharType="separate"/>
      </w:r>
      <w:r w:rsidR="00B75861">
        <w:t>[2]</w:t>
      </w:r>
      <w:r w:rsidR="00B87DDC">
        <w:fldChar w:fldCharType="end"/>
      </w:r>
      <w:r w:rsidR="00164D43">
        <w:t xml:space="preserve">. </w:t>
      </w:r>
      <w:r w:rsidR="003B6CA4">
        <w:t xml:space="preserve">Hence, </w:t>
      </w:r>
      <w:r w:rsidR="00BD6D4C">
        <w:t xml:space="preserve">including the additional information needed to support on-demand delivery of the remaining minimum system information will </w:t>
      </w:r>
      <w:r w:rsidR="003B6CA4">
        <w:t xml:space="preserve">significantly </w:t>
      </w:r>
      <w:r w:rsidR="00BD6D4C">
        <w:t xml:space="preserve">increase the size of the </w:t>
      </w:r>
      <w:r w:rsidR="003B6CA4">
        <w:t xml:space="preserve">MIB </w:t>
      </w:r>
      <w:r w:rsidR="00BD6D4C">
        <w:t xml:space="preserve">compared to the MIB </w:t>
      </w:r>
      <w:r w:rsidR="003B6CA4">
        <w:t xml:space="preserve">in LTE. </w:t>
      </w:r>
      <w:r w:rsidR="00164D43">
        <w:t>From this we can make the following observations:</w:t>
      </w:r>
    </w:p>
    <w:p w14:paraId="273B446A" w14:textId="7F802645" w:rsidR="00164D43" w:rsidRDefault="00BD6D4C" w:rsidP="003A0D4A">
      <w:pPr>
        <w:pStyle w:val="Observation"/>
      </w:pPr>
      <w:r>
        <w:t xml:space="preserve">On-demand delivery of the remaining minimum system information will </w:t>
      </w:r>
      <w:r w:rsidR="00970B73">
        <w:t xml:space="preserve">significantly increase the size of the MIB. </w:t>
      </w:r>
    </w:p>
    <w:p w14:paraId="532118D5" w14:textId="0682CF9B" w:rsidR="00723C07" w:rsidRDefault="00970B73" w:rsidP="00260265">
      <w:r>
        <w:t>Based on the observation, we make the following proposal:</w:t>
      </w:r>
    </w:p>
    <w:p w14:paraId="63E9F7D9" w14:textId="62C06028" w:rsidR="00723C07" w:rsidRDefault="00723C07" w:rsidP="00723C07">
      <w:pPr>
        <w:pStyle w:val="Proposal"/>
      </w:pPr>
      <w:r>
        <w:t xml:space="preserve">The </w:t>
      </w:r>
      <w:r w:rsidRPr="00723C07">
        <w:t xml:space="preserve">remaining minimum system information is </w:t>
      </w:r>
      <w:r w:rsidR="00970B73">
        <w:t xml:space="preserve">broadcast on a </w:t>
      </w:r>
      <w:r w:rsidR="00B378EF">
        <w:t xml:space="preserve">separate </w:t>
      </w:r>
      <w:r>
        <w:t xml:space="preserve">broadcast </w:t>
      </w:r>
      <w:r w:rsidRPr="00723C07">
        <w:t>channe</w:t>
      </w:r>
      <w:r>
        <w:t xml:space="preserve">l. </w:t>
      </w:r>
    </w:p>
    <w:p w14:paraId="73757FED" w14:textId="1D2B03A6" w:rsidR="00164D43" w:rsidRDefault="00970B73" w:rsidP="00260265">
      <w:r>
        <w:t xml:space="preserve">Note that it is only for the </w:t>
      </w:r>
      <w:r w:rsidRPr="00970B73">
        <w:t xml:space="preserve">remaining minimum system information </w:t>
      </w:r>
      <w:r>
        <w:t>that on-demand delivery of system information is infeasible. Any system information not part of the minimum system information can be delivered on-demand.</w:t>
      </w:r>
      <w:r w:rsidR="00723C07">
        <w:t xml:space="preserve"> </w:t>
      </w:r>
    </w:p>
    <w:bookmarkEnd w:id="1"/>
    <w:p w14:paraId="72C87776" w14:textId="469A7E16" w:rsidR="002A354B" w:rsidRPr="003B6CA4" w:rsidRDefault="002A354B" w:rsidP="00723C07">
      <w:r>
        <w:rPr>
          <w:rFonts w:eastAsia="MS Mincho"/>
          <w:lang w:val="en-US" w:eastAsia="ja-JP"/>
        </w:rPr>
        <w:t xml:space="preserve">The </w:t>
      </w:r>
      <w:r w:rsidRPr="00B0535A">
        <w:rPr>
          <w:rFonts w:eastAsia="MS Mincho"/>
          <w:lang w:val="en-US" w:eastAsia="ja-JP"/>
        </w:rPr>
        <w:t xml:space="preserve">channel carrying </w:t>
      </w:r>
      <w:r w:rsidR="007351BA">
        <w:rPr>
          <w:rFonts w:eastAsia="MS Mincho"/>
          <w:lang w:val="en-US" w:eastAsia="ja-JP"/>
        </w:rPr>
        <w:t xml:space="preserve">the </w:t>
      </w:r>
      <w:r w:rsidRPr="00B0535A">
        <w:rPr>
          <w:rFonts w:eastAsia="MS Mincho"/>
          <w:lang w:val="en-US" w:eastAsia="ja-JP"/>
        </w:rPr>
        <w:t>remaining essential system information</w:t>
      </w:r>
      <w:r>
        <w:rPr>
          <w:rFonts w:eastAsia="MS Mincho"/>
          <w:lang w:val="en-US" w:eastAsia="ja-JP"/>
        </w:rPr>
        <w:t xml:space="preserve"> does not yet have a name and in this contribut</w:t>
      </w:r>
      <w:r w:rsidR="00880C41">
        <w:rPr>
          <w:rFonts w:eastAsia="MS Mincho"/>
          <w:lang w:val="en-US" w:eastAsia="ja-JP"/>
        </w:rPr>
        <w:t xml:space="preserve">ion we will simply denote it NR </w:t>
      </w:r>
      <w:r>
        <w:rPr>
          <w:rFonts w:eastAsia="MS Mincho"/>
          <w:lang w:val="en-US" w:eastAsia="ja-JP"/>
        </w:rPr>
        <w:t>Secondary PBCH, in short NR-SPBCH.</w:t>
      </w:r>
    </w:p>
    <w:p w14:paraId="4BC9C407" w14:textId="3DA2514F" w:rsidR="0092788A" w:rsidRDefault="0092788A" w:rsidP="00CE0424">
      <w:pPr>
        <w:pStyle w:val="Heading1"/>
      </w:pPr>
      <w:r>
        <w:lastRenderedPageBreak/>
        <w:t>NR-</w:t>
      </w:r>
      <w:r w:rsidR="002A354B">
        <w:t>S</w:t>
      </w:r>
      <w:r>
        <w:t>PBCH</w:t>
      </w:r>
    </w:p>
    <w:p w14:paraId="0A1D33EC" w14:textId="6D8F1DFD" w:rsidR="0092788A" w:rsidRDefault="0092788A" w:rsidP="0092788A">
      <w:pPr>
        <w:pStyle w:val="Heading2"/>
      </w:pPr>
      <w:r>
        <w:t>Payload</w:t>
      </w:r>
    </w:p>
    <w:p w14:paraId="267E7104" w14:textId="57B5BFFD" w:rsidR="00B31822" w:rsidRDefault="00B31822" w:rsidP="00B31822">
      <w:r>
        <w:t xml:space="preserve">The content and the payload size for the </w:t>
      </w:r>
      <w:r w:rsidRPr="00B31822">
        <w:t>NR-SPBCH</w:t>
      </w:r>
      <w:r>
        <w:t xml:space="preserve"> will be discussed by RAN</w:t>
      </w:r>
      <w:r w:rsidR="009C0532">
        <w:t>2</w:t>
      </w:r>
      <w:r>
        <w:t>, but</w:t>
      </w:r>
      <w:r w:rsidR="002063A3">
        <w:t xml:space="preserve"> as discussed in </w:t>
      </w:r>
      <w:r w:rsidR="002063A3">
        <w:fldChar w:fldCharType="begin"/>
      </w:r>
      <w:r w:rsidR="002063A3">
        <w:instrText xml:space="preserve"> REF _Ref473906658 \r \h </w:instrText>
      </w:r>
      <w:r w:rsidR="002063A3">
        <w:fldChar w:fldCharType="separate"/>
      </w:r>
      <w:r w:rsidR="00B75861">
        <w:t>[1]</w:t>
      </w:r>
      <w:r w:rsidR="002063A3">
        <w:fldChar w:fldCharType="end"/>
      </w:r>
      <w:r w:rsidR="002063A3">
        <w:t>,</w:t>
      </w:r>
      <w:r>
        <w:t xml:space="preserve"> the payload size will be variable.</w:t>
      </w:r>
    </w:p>
    <w:p w14:paraId="1A0A50F9" w14:textId="698928C5" w:rsidR="00B31822" w:rsidRDefault="00B31822" w:rsidP="00B31822">
      <w:pPr>
        <w:pStyle w:val="Proposal"/>
        <w:rPr>
          <w:lang w:val="en-US"/>
        </w:rPr>
      </w:pPr>
      <w:r>
        <w:rPr>
          <w:lang w:val="en-US"/>
        </w:rPr>
        <w:t xml:space="preserve">The </w:t>
      </w:r>
      <w:r w:rsidRPr="001F42D8">
        <w:rPr>
          <w:lang w:val="en-US"/>
        </w:rPr>
        <w:t>NR-</w:t>
      </w:r>
      <w:r>
        <w:rPr>
          <w:lang w:val="en-US"/>
        </w:rPr>
        <w:t>S</w:t>
      </w:r>
      <w:r w:rsidRPr="001F42D8">
        <w:rPr>
          <w:lang w:val="en-US"/>
        </w:rPr>
        <w:t>PBCH</w:t>
      </w:r>
      <w:r>
        <w:rPr>
          <w:lang w:val="en-US"/>
        </w:rPr>
        <w:t xml:space="preserve"> design should support variable payload size.</w:t>
      </w:r>
    </w:p>
    <w:p w14:paraId="4DEE0B4C" w14:textId="4939CD20" w:rsidR="002063A3" w:rsidRDefault="002063A3" w:rsidP="002063A3">
      <w:pPr>
        <w:rPr>
          <w:lang w:val="en-US"/>
        </w:rPr>
      </w:pPr>
      <w:r>
        <w:rPr>
          <w:lang w:val="en-US"/>
        </w:rPr>
        <w:t xml:space="preserve">It is assumed that the NR-SPBCH can also be used not only remaining minimum system information, but also for any additional system information. </w:t>
      </w:r>
    </w:p>
    <w:p w14:paraId="7108BDAB" w14:textId="77777777" w:rsidR="00187CA4" w:rsidRDefault="00187CA4" w:rsidP="00187CA4">
      <w:pPr>
        <w:pStyle w:val="Heading2"/>
        <w:tabs>
          <w:tab w:val="clear" w:pos="5680"/>
        </w:tabs>
        <w:ind w:left="0" w:firstLine="0"/>
        <w:rPr>
          <w:lang w:val="en-US"/>
        </w:rPr>
      </w:pPr>
      <w:r>
        <w:rPr>
          <w:lang w:val="en-US"/>
        </w:rPr>
        <w:t>Periodicity and TTI</w:t>
      </w:r>
    </w:p>
    <w:p w14:paraId="38670B85" w14:textId="739D4A3C" w:rsidR="004C211F" w:rsidRDefault="00845CC2" w:rsidP="002063A3">
      <w:pPr>
        <w:rPr>
          <w:lang w:val="en-US"/>
        </w:rPr>
      </w:pPr>
      <w:r>
        <w:rPr>
          <w:rFonts w:eastAsia="MS Mincho"/>
          <w:lang w:val="en-US" w:eastAsia="ja-JP"/>
        </w:rPr>
        <w:t>The configuration and format of the physical channel used to transmit NR-SPBCH is configured in the MIB</w:t>
      </w:r>
      <w:r w:rsidR="004C211F">
        <w:rPr>
          <w:rFonts w:eastAsia="MS Mincho"/>
          <w:lang w:val="en-US" w:eastAsia="ja-JP"/>
        </w:rPr>
        <w:t xml:space="preserve"> in</w:t>
      </w:r>
      <w:r>
        <w:rPr>
          <w:rFonts w:eastAsia="MS Mincho"/>
          <w:lang w:val="en-US" w:eastAsia="ja-JP"/>
        </w:rPr>
        <w:t xml:space="preserve">. </w:t>
      </w:r>
      <w:r w:rsidR="004C211F">
        <w:rPr>
          <w:lang w:val="en-US"/>
        </w:rPr>
        <w:t xml:space="preserve">The scheduling of </w:t>
      </w:r>
      <w:r w:rsidR="00B87DDC">
        <w:rPr>
          <w:lang w:val="en-US"/>
        </w:rPr>
        <w:t xml:space="preserve">any </w:t>
      </w:r>
      <w:r w:rsidR="004C211F">
        <w:rPr>
          <w:lang w:val="en-US"/>
        </w:rPr>
        <w:t xml:space="preserve">additional system </w:t>
      </w:r>
      <w:r w:rsidR="00B87DDC">
        <w:rPr>
          <w:lang w:val="en-US"/>
        </w:rPr>
        <w:t xml:space="preserve">information </w:t>
      </w:r>
      <w:r w:rsidR="004C211F">
        <w:rPr>
          <w:lang w:val="en-US"/>
        </w:rPr>
        <w:t>can be indicated in the NR-SPBCH carrying the remaining minimum system information</w:t>
      </w:r>
      <w:r w:rsidR="00B87DDC">
        <w:rPr>
          <w:lang w:val="en-US"/>
        </w:rPr>
        <w:t>(“SIB1”)</w:t>
      </w:r>
      <w:r w:rsidR="004C211F">
        <w:rPr>
          <w:lang w:val="en-US"/>
        </w:rPr>
        <w:t>.</w:t>
      </w:r>
    </w:p>
    <w:p w14:paraId="369B0974" w14:textId="078AAF35" w:rsidR="00B87DDC" w:rsidRDefault="00B87DDC" w:rsidP="002063A3">
      <w:pPr>
        <w:rPr>
          <w:rFonts w:eastAsia="MS Mincho"/>
          <w:lang w:val="en-US" w:eastAsia="ja-JP"/>
        </w:rPr>
      </w:pPr>
      <w:r>
        <w:rPr>
          <w:rFonts w:eastAsia="MS Mincho"/>
          <w:lang w:val="en-US" w:eastAsia="ja-JP"/>
        </w:rPr>
        <w:t xml:space="preserve">The periodicity and the TTI of the NR-SPBCH does not have to be the same. It is beneficial </w:t>
      </w:r>
      <w:r w:rsidR="00430AFB">
        <w:rPr>
          <w:rFonts w:eastAsia="MS Mincho"/>
          <w:lang w:val="en-US" w:eastAsia="ja-JP"/>
        </w:rPr>
        <w:t xml:space="preserve">that UEs in good channel conditions can decode the NR-PBCH from one instance while in order to keep the overhead from the NR-SPBCH, coverage limited UEs can combine multiple instances in order to decoded the NR-SPBCH. This can be handled by spreading different redundancy versions of the </w:t>
      </w:r>
      <w:r w:rsidR="00430AFB" w:rsidRPr="00430AFB">
        <w:rPr>
          <w:rFonts w:eastAsia="MS Mincho"/>
          <w:lang w:val="en-US" w:eastAsia="ja-JP"/>
        </w:rPr>
        <w:t>NR-SPBCH</w:t>
      </w:r>
      <w:r w:rsidR="00430AFB">
        <w:rPr>
          <w:rFonts w:eastAsia="MS Mincho"/>
          <w:lang w:val="en-US" w:eastAsia="ja-JP"/>
        </w:rPr>
        <w:t xml:space="preserve"> across the </w:t>
      </w:r>
      <w:r w:rsidR="00430AFB" w:rsidRPr="00430AFB">
        <w:rPr>
          <w:rFonts w:eastAsia="MS Mincho"/>
          <w:lang w:val="en-US" w:eastAsia="ja-JP"/>
        </w:rPr>
        <w:t>NR-SPBCH</w:t>
      </w:r>
      <w:r w:rsidR="00430AFB">
        <w:rPr>
          <w:rFonts w:eastAsia="MS Mincho"/>
          <w:lang w:val="en-US" w:eastAsia="ja-JP"/>
        </w:rPr>
        <w:t xml:space="preserve"> TTI.</w:t>
      </w:r>
    </w:p>
    <w:p w14:paraId="4C5563CA" w14:textId="2ED2F090" w:rsidR="00845CC2" w:rsidRDefault="00430AFB" w:rsidP="00430AFB">
      <w:pPr>
        <w:rPr>
          <w:rFonts w:eastAsia="MS Mincho"/>
          <w:lang w:val="en-US" w:eastAsia="ja-JP"/>
        </w:rPr>
      </w:pPr>
      <w:r>
        <w:rPr>
          <w:rFonts w:eastAsia="MS Mincho"/>
          <w:lang w:val="en-US" w:eastAsia="ja-JP"/>
        </w:rPr>
        <w:t xml:space="preserve">An example is shown in </w:t>
      </w:r>
      <w:r>
        <w:rPr>
          <w:rFonts w:eastAsia="MS Mincho"/>
          <w:lang w:val="en-US" w:eastAsia="ja-JP"/>
        </w:rPr>
        <w:fldChar w:fldCharType="begin"/>
      </w:r>
      <w:r>
        <w:rPr>
          <w:rFonts w:eastAsia="MS Mincho"/>
          <w:lang w:val="en-US" w:eastAsia="ja-JP"/>
        </w:rPr>
        <w:instrText xml:space="preserve"> REF _Ref470015998 \h </w:instrText>
      </w:r>
      <w:r>
        <w:rPr>
          <w:rFonts w:eastAsia="MS Mincho"/>
          <w:lang w:val="en-US" w:eastAsia="ja-JP"/>
        </w:rPr>
      </w:r>
      <w:r>
        <w:rPr>
          <w:rFonts w:eastAsia="MS Mincho"/>
          <w:lang w:val="en-US" w:eastAsia="ja-JP"/>
        </w:rPr>
        <w:fldChar w:fldCharType="separate"/>
      </w:r>
      <w:r w:rsidR="00B75861">
        <w:t xml:space="preserve">Figure </w:t>
      </w:r>
      <w:r w:rsidR="00B75861">
        <w:rPr>
          <w:noProof/>
        </w:rPr>
        <w:t>1</w:t>
      </w:r>
      <w:r>
        <w:rPr>
          <w:rFonts w:eastAsia="MS Mincho"/>
          <w:lang w:val="en-US" w:eastAsia="ja-JP"/>
        </w:rPr>
        <w:fldChar w:fldCharType="end"/>
      </w:r>
      <w:r>
        <w:rPr>
          <w:rFonts w:eastAsia="MS Mincho"/>
          <w:lang w:val="en-US" w:eastAsia="ja-JP"/>
        </w:rPr>
        <w:t>. E</w:t>
      </w:r>
      <w:r w:rsidR="00845CC2" w:rsidRPr="005A2B6D">
        <w:rPr>
          <w:rFonts w:eastAsia="MS Mincho"/>
          <w:lang w:val="en-US" w:eastAsia="ja-JP"/>
        </w:rPr>
        <w:t>very 80 ms the UE can expect to receive</w:t>
      </w:r>
      <w:r w:rsidR="00845CC2">
        <w:rPr>
          <w:rFonts w:eastAsia="MS Mincho"/>
          <w:lang w:val="en-US" w:eastAsia="ja-JP"/>
        </w:rPr>
        <w:t xml:space="preserve"> a</w:t>
      </w:r>
      <w:r w:rsidR="00845CC2" w:rsidRPr="005A2B6D">
        <w:rPr>
          <w:rFonts w:eastAsia="MS Mincho"/>
          <w:lang w:val="en-US" w:eastAsia="ja-JP"/>
        </w:rPr>
        <w:t>t least one SS Block and</w:t>
      </w:r>
      <w:r w:rsidR="00845CC2">
        <w:rPr>
          <w:rFonts w:eastAsia="MS Mincho"/>
          <w:lang w:val="en-US" w:eastAsia="ja-JP"/>
        </w:rPr>
        <w:t xml:space="preserve"> </w:t>
      </w:r>
      <w:r>
        <w:rPr>
          <w:rFonts w:eastAsia="MS Mincho"/>
          <w:lang w:val="en-US" w:eastAsia="ja-JP"/>
        </w:rPr>
        <w:t xml:space="preserve">at least </w:t>
      </w:r>
      <w:r w:rsidR="00845CC2" w:rsidRPr="005A2B6D">
        <w:rPr>
          <w:rFonts w:eastAsia="MS Mincho"/>
          <w:lang w:val="en-US" w:eastAsia="ja-JP"/>
        </w:rPr>
        <w:t xml:space="preserve">one redundancy version of </w:t>
      </w:r>
      <w:r w:rsidR="00845CC2">
        <w:rPr>
          <w:rFonts w:eastAsia="MS Mincho"/>
          <w:lang w:val="en-US" w:eastAsia="ja-JP"/>
        </w:rPr>
        <w:t>NR-SPBCH</w:t>
      </w:r>
      <w:r w:rsidR="00B378EF">
        <w:rPr>
          <w:rFonts w:eastAsia="MS Mincho"/>
          <w:lang w:val="en-US" w:eastAsia="ja-JP"/>
        </w:rPr>
        <w:t xml:space="preserve"> while the TTI of the NR-SPBCH is 320 ms. The decision on the TTI for the NR-SPBCH can be left for RAN2.</w:t>
      </w:r>
    </w:p>
    <w:p w14:paraId="02E21D32" w14:textId="3B9385A6" w:rsidR="00845CC2" w:rsidRDefault="00845CC2" w:rsidP="00845CC2">
      <w:pPr>
        <w:keepNext/>
      </w:pPr>
    </w:p>
    <w:p w14:paraId="408FE88A" w14:textId="4BECE543" w:rsidR="00804C0A" w:rsidRDefault="00B378EF" w:rsidP="00845CC2">
      <w:pPr>
        <w:keepNext/>
      </w:pPr>
      <w:r>
        <w:rPr>
          <w:noProof/>
          <w:lang w:val="en-US" w:eastAsia="en-US"/>
        </w:rPr>
        <w:drawing>
          <wp:inline distT="0" distB="0" distL="0" distR="0" wp14:anchorId="402EC9C2" wp14:editId="38822C40">
            <wp:extent cx="6163056" cy="129844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3056" cy="1298448"/>
                    </a:xfrm>
                    <a:prstGeom prst="rect">
                      <a:avLst/>
                    </a:prstGeom>
                    <a:noFill/>
                  </pic:spPr>
                </pic:pic>
              </a:graphicData>
            </a:graphic>
          </wp:inline>
        </w:drawing>
      </w:r>
    </w:p>
    <w:p w14:paraId="3786AE5A" w14:textId="5DF00BE9" w:rsidR="00845CC2" w:rsidRDefault="00845CC2" w:rsidP="00845CC2">
      <w:pPr>
        <w:pStyle w:val="Caption"/>
        <w:jc w:val="both"/>
      </w:pPr>
      <w:bookmarkStart w:id="2" w:name="_Ref470015998"/>
      <w:r>
        <w:t xml:space="preserve">Figure </w:t>
      </w:r>
      <w:r>
        <w:fldChar w:fldCharType="begin"/>
      </w:r>
      <w:r>
        <w:instrText xml:space="preserve"> SEQ Figure \* ARABIC </w:instrText>
      </w:r>
      <w:r>
        <w:fldChar w:fldCharType="separate"/>
      </w:r>
      <w:r w:rsidR="00B75861">
        <w:rPr>
          <w:noProof/>
        </w:rPr>
        <w:t>1</w:t>
      </w:r>
      <w:r>
        <w:fldChar w:fldCharType="end"/>
      </w:r>
      <w:bookmarkEnd w:id="2"/>
      <w:r>
        <w:t>: The UE may assume that it will receive at least one SS Block and one NR-SPBCH</w:t>
      </w:r>
      <w:r w:rsidR="00B378EF">
        <w:t xml:space="preserve"> redundancy version every 80 ms with a 320 ms TTI for the NR-SPBCH.</w:t>
      </w:r>
    </w:p>
    <w:p w14:paraId="49A22CB7" w14:textId="263C851A" w:rsidR="002063A3" w:rsidRDefault="002063A3" w:rsidP="00845CC2">
      <w:pPr>
        <w:pStyle w:val="BodyText"/>
        <w:rPr>
          <w:rFonts w:eastAsia="MS Mincho"/>
          <w:lang w:val="en-US" w:eastAsia="ja-JP"/>
        </w:rPr>
      </w:pPr>
    </w:p>
    <w:p w14:paraId="7ACAEF50" w14:textId="0D9591F1" w:rsidR="00361FBA" w:rsidRDefault="00361FBA" w:rsidP="00361FBA">
      <w:pPr>
        <w:pStyle w:val="Heading2"/>
        <w:rPr>
          <w:rFonts w:eastAsia="MS Mincho"/>
          <w:lang w:val="en-US" w:eastAsia="ja-JP"/>
        </w:rPr>
      </w:pPr>
      <w:r>
        <w:rPr>
          <w:rFonts w:eastAsia="MS Mincho"/>
          <w:lang w:val="en-US" w:eastAsia="ja-JP"/>
        </w:rPr>
        <w:t>Beamforming</w:t>
      </w:r>
    </w:p>
    <w:p w14:paraId="44DB8C76" w14:textId="0CDD7205" w:rsidR="00845CC2" w:rsidRDefault="00B378EF" w:rsidP="00845CC2">
      <w:pPr>
        <w:pStyle w:val="BodyText"/>
        <w:rPr>
          <w:rFonts w:eastAsia="MS Mincho"/>
          <w:lang w:val="en-US" w:eastAsia="ja-JP"/>
        </w:rPr>
      </w:pPr>
      <w:r>
        <w:rPr>
          <w:rFonts w:eastAsia="MS Mincho"/>
          <w:lang w:val="en-US" w:eastAsia="ja-JP"/>
        </w:rPr>
        <w:t>T</w:t>
      </w:r>
      <w:r w:rsidR="00845CC2" w:rsidRPr="00794668">
        <w:rPr>
          <w:rFonts w:eastAsia="MS Mincho"/>
          <w:lang w:val="en-US" w:eastAsia="ja-JP"/>
        </w:rPr>
        <w:t xml:space="preserve">he UE shall not assume that the beam-forming of the SS Blocks is related to the beamforming of the </w:t>
      </w:r>
      <w:r w:rsidR="00845CC2">
        <w:rPr>
          <w:rFonts w:eastAsia="MS Mincho"/>
          <w:lang w:val="en-US" w:eastAsia="ja-JP"/>
        </w:rPr>
        <w:t>NR-SPBCH</w:t>
      </w:r>
      <w:r w:rsidR="00845CC2" w:rsidRPr="00794668">
        <w:rPr>
          <w:rFonts w:eastAsia="MS Mincho"/>
          <w:lang w:val="en-US" w:eastAsia="ja-JP"/>
        </w:rPr>
        <w:t>. For example</w:t>
      </w:r>
      <w:r w:rsidR="00845CC2">
        <w:rPr>
          <w:rFonts w:eastAsia="MS Mincho"/>
          <w:lang w:val="en-US" w:eastAsia="ja-JP"/>
        </w:rPr>
        <w:t>,</w:t>
      </w:r>
      <w:r w:rsidR="00845CC2"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00845CC2" w:rsidRPr="00794668">
        <w:rPr>
          <w:rFonts w:eastAsia="MS Mincho"/>
          <w:lang w:val="en-US" w:eastAsia="ja-JP"/>
        </w:rPr>
        <w:fldChar w:fldCharType="begin"/>
      </w:r>
      <w:r w:rsidR="00845CC2" w:rsidRPr="00794668">
        <w:rPr>
          <w:rFonts w:eastAsia="MS Mincho"/>
          <w:lang w:val="en-US" w:eastAsia="ja-JP"/>
        </w:rPr>
        <w:instrText xml:space="preserve"> REF _Ref470016773 \h  \* MERGEFORMAT </w:instrText>
      </w:r>
      <w:r w:rsidR="00845CC2" w:rsidRPr="00794668">
        <w:rPr>
          <w:rFonts w:eastAsia="MS Mincho"/>
          <w:lang w:val="en-US" w:eastAsia="ja-JP"/>
        </w:rPr>
      </w:r>
      <w:r w:rsidR="00845CC2" w:rsidRPr="00794668">
        <w:rPr>
          <w:rFonts w:eastAsia="MS Mincho"/>
          <w:lang w:val="en-US" w:eastAsia="ja-JP"/>
        </w:rPr>
        <w:fldChar w:fldCharType="separate"/>
      </w:r>
      <w:r w:rsidR="00B75861">
        <w:t xml:space="preserve">Figure </w:t>
      </w:r>
      <w:r w:rsidR="00B75861">
        <w:rPr>
          <w:noProof/>
        </w:rPr>
        <w:t>2</w:t>
      </w:r>
      <w:r w:rsidR="00845CC2" w:rsidRPr="00794668">
        <w:rPr>
          <w:rFonts w:eastAsia="MS Mincho"/>
          <w:lang w:val="en-US" w:eastAsia="ja-JP"/>
        </w:rPr>
        <w:fldChar w:fldCharType="end"/>
      </w:r>
      <w:r w:rsidR="00845CC2" w:rsidRPr="00794668">
        <w:rPr>
          <w:rFonts w:eastAsia="MS Mincho"/>
          <w:lang w:val="en-US" w:eastAsia="ja-JP"/>
        </w:rPr>
        <w:t>.</w:t>
      </w:r>
      <w:r w:rsidR="00B31822">
        <w:rPr>
          <w:rFonts w:eastAsia="MS Mincho"/>
          <w:lang w:val="en-US" w:eastAsia="ja-JP"/>
        </w:rPr>
        <w:t xml:space="preserve"> The benefits of SFN transmission of system information were shown in </w:t>
      </w:r>
      <w:r w:rsidR="00D33BE4">
        <w:rPr>
          <w:rFonts w:eastAsia="MS Mincho"/>
          <w:lang w:val="en-US" w:eastAsia="ja-JP"/>
        </w:rPr>
        <w:fldChar w:fldCharType="begin"/>
      </w:r>
      <w:r w:rsidR="00D33BE4">
        <w:rPr>
          <w:rFonts w:eastAsia="MS Mincho"/>
          <w:lang w:val="en-US" w:eastAsia="ja-JP"/>
        </w:rPr>
        <w:instrText xml:space="preserve"> REF _Ref471729757 \r \h </w:instrText>
      </w:r>
      <w:r w:rsidR="00D33BE4">
        <w:rPr>
          <w:rFonts w:eastAsia="MS Mincho"/>
          <w:lang w:val="en-US" w:eastAsia="ja-JP"/>
        </w:rPr>
      </w:r>
      <w:r w:rsidR="00D33BE4">
        <w:rPr>
          <w:rFonts w:eastAsia="MS Mincho"/>
          <w:lang w:val="en-US" w:eastAsia="ja-JP"/>
        </w:rPr>
        <w:fldChar w:fldCharType="separate"/>
      </w:r>
      <w:r w:rsidR="00B75861">
        <w:rPr>
          <w:rFonts w:eastAsia="MS Mincho"/>
          <w:lang w:val="en-US" w:eastAsia="ja-JP"/>
        </w:rPr>
        <w:t>[3]</w:t>
      </w:r>
      <w:r w:rsidR="00D33BE4">
        <w:rPr>
          <w:rFonts w:eastAsia="MS Mincho"/>
          <w:lang w:val="en-US" w:eastAsia="ja-JP"/>
        </w:rPr>
        <w:fldChar w:fldCharType="end"/>
      </w:r>
      <w:r w:rsidR="00B31822">
        <w:rPr>
          <w:rFonts w:eastAsia="MS Mincho"/>
          <w:lang w:val="en-US" w:eastAsia="ja-JP"/>
        </w:rPr>
        <w:t>.</w:t>
      </w:r>
    </w:p>
    <w:p w14:paraId="35A86C93" w14:textId="3D8FF3F2" w:rsidR="00845CC2" w:rsidRDefault="00804C0A" w:rsidP="00845CC2">
      <w:pPr>
        <w:pStyle w:val="BodyText"/>
      </w:pPr>
      <w:r>
        <w:rPr>
          <w:noProof/>
          <w:lang w:val="en-US" w:eastAsia="en-US"/>
        </w:rPr>
        <w:drawing>
          <wp:inline distT="0" distB="0" distL="0" distR="0" wp14:anchorId="1F0A1B31" wp14:editId="0555AFC7">
            <wp:extent cx="5148072" cy="2295144"/>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8072" cy="2295144"/>
                    </a:xfrm>
                    <a:prstGeom prst="rect">
                      <a:avLst/>
                    </a:prstGeom>
                    <a:noFill/>
                  </pic:spPr>
                </pic:pic>
              </a:graphicData>
            </a:graphic>
          </wp:inline>
        </w:drawing>
      </w:r>
    </w:p>
    <w:p w14:paraId="195A17D9" w14:textId="6B4F28BB" w:rsidR="00845CC2" w:rsidRDefault="00845CC2" w:rsidP="00845CC2">
      <w:pPr>
        <w:pStyle w:val="Caption"/>
        <w:jc w:val="left"/>
      </w:pPr>
      <w:bookmarkStart w:id="3" w:name="_Ref470016773"/>
      <w:r>
        <w:t xml:space="preserve">Figure </w:t>
      </w:r>
      <w:r>
        <w:fldChar w:fldCharType="begin"/>
      </w:r>
      <w:r>
        <w:instrText xml:space="preserve"> SEQ Figure \* ARABIC </w:instrText>
      </w:r>
      <w:r>
        <w:fldChar w:fldCharType="separate"/>
      </w:r>
      <w:r w:rsidR="00B75861">
        <w:rPr>
          <w:noProof/>
        </w:rPr>
        <w:t>2</w:t>
      </w:r>
      <w:r>
        <w:fldChar w:fldCharType="end"/>
      </w:r>
      <w:bookmarkEnd w:id="3"/>
      <w:r>
        <w:t>: Example depicting that the beamforming and transmission format of the SS Block and of the SIBs may be different and that the UE typically cannot use the PCI to derive the information required to read the SIBs.</w:t>
      </w:r>
    </w:p>
    <w:p w14:paraId="6001CFD1" w14:textId="460F091A" w:rsidR="00361FBA" w:rsidRDefault="00361FBA" w:rsidP="00361FBA">
      <w:r>
        <w:t>Based on the above, we propose:</w:t>
      </w:r>
    </w:p>
    <w:p w14:paraId="305E2DDA" w14:textId="3E33B678" w:rsidR="00361FBA" w:rsidRDefault="00361FBA" w:rsidP="00361FBA">
      <w:pPr>
        <w:pStyle w:val="Proposal"/>
        <w:tabs>
          <w:tab w:val="clear" w:pos="1304"/>
        </w:tabs>
        <w:ind w:left="1701" w:hanging="1701"/>
      </w:pPr>
      <w:bookmarkStart w:id="4" w:name="_Toc470174584"/>
      <w:bookmarkStart w:id="5" w:name="_Toc470174680"/>
      <w:bookmarkStart w:id="6" w:name="_Toc470941439"/>
      <w:bookmarkStart w:id="7" w:name="_Toc470941820"/>
      <w:bookmarkStart w:id="8" w:name="_Toc471404974"/>
      <w:bookmarkStart w:id="9" w:name="_Toc471473153"/>
      <w:bookmarkStart w:id="10" w:name="_Toc471514690"/>
      <w:r>
        <w:t xml:space="preserve">NR should support at least three different delivery mechanisms for </w:t>
      </w:r>
      <w:r w:rsidR="005D5496">
        <w:t>NR-SPBCH</w:t>
      </w:r>
    </w:p>
    <w:p w14:paraId="2811C0BD" w14:textId="77777777" w:rsidR="00361FBA" w:rsidRDefault="00361FBA" w:rsidP="00361FBA">
      <w:pPr>
        <w:pStyle w:val="Proposal"/>
        <w:numPr>
          <w:ilvl w:val="2"/>
          <w:numId w:val="3"/>
        </w:numPr>
      </w:pPr>
      <w:r>
        <w:t>Omnidirectional or wide beam (e.g. sector) transmission</w:t>
      </w:r>
    </w:p>
    <w:p w14:paraId="4C1BE382" w14:textId="77777777" w:rsidR="00361FBA" w:rsidRDefault="00361FBA" w:rsidP="00361FBA">
      <w:pPr>
        <w:pStyle w:val="Proposal"/>
        <w:numPr>
          <w:ilvl w:val="2"/>
          <w:numId w:val="3"/>
        </w:numPr>
      </w:pPr>
      <w:r>
        <w:t>Sweeping of narrow beams</w:t>
      </w:r>
    </w:p>
    <w:p w14:paraId="64F3CBB0" w14:textId="77777777" w:rsidR="00361FBA" w:rsidRDefault="00361FBA" w:rsidP="00361FBA">
      <w:pPr>
        <w:pStyle w:val="Proposal"/>
        <w:numPr>
          <w:ilvl w:val="2"/>
          <w:numId w:val="3"/>
        </w:numPr>
        <w:jc w:val="left"/>
      </w:pPr>
      <w:r>
        <w:t>Single frequency network (SFN) transmission involving multiple cells or multiple transmission points serving the same cell.</w:t>
      </w:r>
      <w:bookmarkEnd w:id="4"/>
      <w:bookmarkEnd w:id="5"/>
      <w:bookmarkEnd w:id="6"/>
      <w:bookmarkEnd w:id="7"/>
      <w:bookmarkEnd w:id="8"/>
      <w:bookmarkEnd w:id="9"/>
      <w:bookmarkEnd w:id="10"/>
    </w:p>
    <w:p w14:paraId="49DCFF44" w14:textId="77777777" w:rsidR="00361FBA" w:rsidRPr="00361FBA" w:rsidRDefault="00361FBA" w:rsidP="00361FBA"/>
    <w:p w14:paraId="1CE6ECC1" w14:textId="34C2D7FB" w:rsidR="00D33BE4" w:rsidRDefault="00B378EF" w:rsidP="00D33BE4">
      <w:pPr>
        <w:pStyle w:val="Heading2"/>
      </w:pPr>
      <w:r>
        <w:t>Channel format</w:t>
      </w:r>
    </w:p>
    <w:p w14:paraId="5DDFDD7C" w14:textId="23D1BC92" w:rsidR="00DC27BB" w:rsidRDefault="007D6E96" w:rsidP="007D6E96">
      <w:r>
        <w:t xml:space="preserve">As </w:t>
      </w:r>
      <w:r w:rsidR="00AF308B">
        <w:t>previously mentioned</w:t>
      </w:r>
      <w:r>
        <w:t xml:space="preserve">, </w:t>
      </w:r>
      <w:r w:rsidR="00DC27BB">
        <w:t xml:space="preserve">the NR-SPBCH must handle a dynamic payload which means that it should be possible to signal the resource allocation and MCS. Based on the experience from LTE, even though the size of the system information can vary from deployment to deployment, for a given deployment the system information is more or less static and the resources for NR-SPBCH transmission can statically fixed where it is the type of system information, SIBX, in each instance that causes variation in the payload. Hence, from a scheduling perspective, there is no need for </w:t>
      </w:r>
      <w:r w:rsidR="00BC2802">
        <w:t xml:space="preserve">a PDCCH-like channel to schedule the NR-SPBCH, but the scheduling assignment for the remaining system information, “SIB1” can be included in the NR-PBCH and for any additional system information the scheduling assignment(s) can be included in “SIB1”. </w:t>
      </w:r>
    </w:p>
    <w:p w14:paraId="78EC010F" w14:textId="648A8E33" w:rsidR="00DC27BB" w:rsidRDefault="00BC2802" w:rsidP="007D6E96">
      <w:r>
        <w:t>Still, the NR-SPBCH can reuse the structure of the PDSCH including DMRS and it should be further discussed if a new channel is defined or not.</w:t>
      </w:r>
    </w:p>
    <w:p w14:paraId="6E24A406" w14:textId="7A94544A" w:rsidR="007D6E96" w:rsidRDefault="00BC2802" w:rsidP="007D6E96">
      <w:r>
        <w:t>If the number of supported combinations of resource allocations and MCS for the NR-SPBCH becomes large, a PDCCH like channel could be considered to reduce the number of bits that needs to be added to the NR-PBCH. Then the information on where the UE will find the PDCCH used to schedule the NR-SPBCH would be included in the NR-PBCH. More knowledge of the range of system information that needs to be supported is needed before making a decision on the scheduling of the NR-SPDCH.</w:t>
      </w:r>
    </w:p>
    <w:p w14:paraId="27728B21" w14:textId="34D5000A" w:rsidR="00BC2802" w:rsidRDefault="00732EE0" w:rsidP="00732EE0">
      <w:pPr>
        <w:pStyle w:val="Observation"/>
        <w:ind w:left="1620" w:hanging="1620"/>
      </w:pPr>
      <w:r>
        <w:t xml:space="preserve">More information is needed from RAN2 </w:t>
      </w:r>
      <w:r w:rsidR="00534EEB">
        <w:t xml:space="preserve">on the range of system information bits </w:t>
      </w:r>
      <w:r>
        <w:t>before deciding on how to schedule the NR-SPBCH.</w:t>
      </w:r>
    </w:p>
    <w:p w14:paraId="3FDAEECB" w14:textId="329651B8" w:rsidR="00C01F33" w:rsidRPr="00CE0424" w:rsidRDefault="00C01F33" w:rsidP="00CE0424">
      <w:pPr>
        <w:pStyle w:val="Heading1"/>
      </w:pPr>
      <w:r w:rsidRPr="00CE0424">
        <w:t>Conclusion</w:t>
      </w:r>
    </w:p>
    <w:p w14:paraId="4D07C4CD" w14:textId="347E0BEE" w:rsidR="00B47E43" w:rsidRPr="007A6E9A" w:rsidRDefault="008E065E">
      <w:pPr>
        <w:pStyle w:val="TOC1"/>
        <w:rPr>
          <w:b w:val="0"/>
        </w:rPr>
      </w:pPr>
      <w:r w:rsidRPr="007A6E9A">
        <w:rPr>
          <w:b w:val="0"/>
        </w:rPr>
        <w:t xml:space="preserve">In </w:t>
      </w:r>
      <w:r w:rsidR="00B378EF">
        <w:rPr>
          <w:b w:val="0"/>
        </w:rPr>
        <w:t xml:space="preserve">this contribution </w:t>
      </w:r>
      <w:r w:rsidRPr="007A6E9A">
        <w:rPr>
          <w:b w:val="0"/>
        </w:rPr>
        <w:t>we made the following observations:</w:t>
      </w:r>
    </w:p>
    <w:p w14:paraId="48E703EB" w14:textId="1F83867D" w:rsidR="00B378EF" w:rsidRDefault="00B378EF" w:rsidP="00B378EF">
      <w:pPr>
        <w:pStyle w:val="Observation"/>
        <w:numPr>
          <w:ilvl w:val="0"/>
          <w:numId w:val="41"/>
        </w:numPr>
        <w:ind w:left="1710" w:hanging="1710"/>
      </w:pPr>
      <w:r w:rsidRPr="00B378EF">
        <w:t xml:space="preserve">On-demand delivery of the remaining minimum system information will significantly increase the size of the MIB. </w:t>
      </w:r>
    </w:p>
    <w:p w14:paraId="13CB1C84" w14:textId="25051A56" w:rsidR="00732EE0" w:rsidRPr="00B378EF" w:rsidRDefault="00732EE0" w:rsidP="00B504CB">
      <w:pPr>
        <w:pStyle w:val="Observation"/>
        <w:numPr>
          <w:ilvl w:val="0"/>
          <w:numId w:val="41"/>
        </w:numPr>
        <w:ind w:left="1710" w:hanging="1710"/>
      </w:pPr>
      <w:r w:rsidRPr="00732EE0">
        <w:t>More information is needed from RAN2 before deciding on how to schedule the NR-SPBCH.</w:t>
      </w:r>
    </w:p>
    <w:p w14:paraId="661C37B4" w14:textId="3FF5D4A9" w:rsidR="00B47E43" w:rsidRPr="007A6E9A" w:rsidRDefault="009C0532" w:rsidP="003E25DB">
      <w:pPr>
        <w:pStyle w:val="TOC1"/>
        <w:rPr>
          <w:b w:val="0"/>
        </w:rPr>
      </w:pPr>
      <w:r>
        <w:rPr>
          <w:b w:val="0"/>
        </w:rPr>
        <w:t xml:space="preserve">Based on the discussion, </w:t>
      </w:r>
      <w:r w:rsidR="008E065E" w:rsidRPr="007A6E9A">
        <w:rPr>
          <w:b w:val="0"/>
        </w:rPr>
        <w:t>we propose the following:</w:t>
      </w:r>
    </w:p>
    <w:p w14:paraId="2AC96E8B" w14:textId="77777777" w:rsidR="00732EE0" w:rsidRDefault="00732EE0" w:rsidP="00732EE0">
      <w:pPr>
        <w:pStyle w:val="Proposal"/>
        <w:numPr>
          <w:ilvl w:val="0"/>
          <w:numId w:val="42"/>
        </w:numPr>
      </w:pPr>
      <w:r>
        <w:t xml:space="preserve">The </w:t>
      </w:r>
      <w:r w:rsidRPr="00723C07">
        <w:t xml:space="preserve">remaining minimum system information is </w:t>
      </w:r>
      <w:r>
        <w:t xml:space="preserve">broadcast on a separate broadcast </w:t>
      </w:r>
      <w:r w:rsidRPr="00723C07">
        <w:t>channe</w:t>
      </w:r>
      <w:r>
        <w:t xml:space="preserve">l. </w:t>
      </w:r>
    </w:p>
    <w:p w14:paraId="377E91AF" w14:textId="6AA24E19" w:rsidR="009C0532" w:rsidRDefault="00732EE0" w:rsidP="00732EE0">
      <w:pPr>
        <w:pStyle w:val="Proposal"/>
        <w:rPr>
          <w:rFonts w:eastAsia="MS Mincho"/>
          <w:lang w:val="en-US" w:eastAsia="ja-JP"/>
        </w:rPr>
      </w:pPr>
      <w:r w:rsidRPr="00732EE0">
        <w:rPr>
          <w:rFonts w:eastAsia="MS Mincho"/>
          <w:lang w:val="en-US" w:eastAsia="ja-JP"/>
        </w:rPr>
        <w:t xml:space="preserve">The NR-SPBCH design should support variable payload size </w:t>
      </w:r>
    </w:p>
    <w:p w14:paraId="0C8899E8" w14:textId="77777777" w:rsidR="00732EE0" w:rsidRDefault="00732EE0" w:rsidP="00732EE0">
      <w:pPr>
        <w:pStyle w:val="Proposal"/>
        <w:tabs>
          <w:tab w:val="clear" w:pos="1304"/>
          <w:tab w:val="clear" w:pos="1701"/>
          <w:tab w:val="left" w:pos="1350"/>
        </w:tabs>
        <w:ind w:left="1701" w:hanging="1701"/>
      </w:pPr>
      <w:r>
        <w:t>NR should support at least three different delivery mechanisms for NR-SPBCH</w:t>
      </w:r>
    </w:p>
    <w:p w14:paraId="6F850350" w14:textId="77777777" w:rsidR="00732EE0" w:rsidRDefault="00732EE0" w:rsidP="00732EE0">
      <w:pPr>
        <w:pStyle w:val="Proposal"/>
        <w:numPr>
          <w:ilvl w:val="2"/>
          <w:numId w:val="3"/>
        </w:numPr>
      </w:pPr>
      <w:r>
        <w:t>Omnidirectional or wide beam (e.g. sector) transmission</w:t>
      </w:r>
    </w:p>
    <w:p w14:paraId="5CDD1071" w14:textId="77777777" w:rsidR="00732EE0" w:rsidRDefault="00732EE0" w:rsidP="00732EE0">
      <w:pPr>
        <w:pStyle w:val="Proposal"/>
        <w:numPr>
          <w:ilvl w:val="2"/>
          <w:numId w:val="3"/>
        </w:numPr>
      </w:pPr>
      <w:r>
        <w:t>Sweeping of narrow beams</w:t>
      </w:r>
    </w:p>
    <w:p w14:paraId="27CCACF9" w14:textId="77777777" w:rsidR="00732EE0" w:rsidRDefault="00732EE0" w:rsidP="00732EE0">
      <w:pPr>
        <w:pStyle w:val="Proposal"/>
        <w:numPr>
          <w:ilvl w:val="2"/>
          <w:numId w:val="3"/>
        </w:numPr>
        <w:jc w:val="left"/>
      </w:pPr>
      <w:r>
        <w:t>Single frequency network (SFN) transmission involving multiple cells or multiple transmission points serving the same cell.</w:t>
      </w:r>
    </w:p>
    <w:p w14:paraId="3CA25FCB" w14:textId="30BDE564" w:rsidR="00F507D1" w:rsidRDefault="00F507D1" w:rsidP="00CE0424">
      <w:pPr>
        <w:pStyle w:val="Heading1"/>
      </w:pPr>
      <w:bookmarkStart w:id="11" w:name="_In-sequence_SDU_delivery"/>
      <w:bookmarkEnd w:id="11"/>
      <w:r w:rsidRPr="00CE0424">
        <w:t>References</w:t>
      </w:r>
    </w:p>
    <w:p w14:paraId="2FA6A768" w14:textId="77777777" w:rsidR="009C0532" w:rsidRPr="009C0532" w:rsidRDefault="009C0532" w:rsidP="009C0532"/>
    <w:p w14:paraId="7228B1DA" w14:textId="00A252A0" w:rsidR="0012133C" w:rsidRDefault="0012133C" w:rsidP="0012133C">
      <w:pPr>
        <w:pStyle w:val="Reference"/>
        <w:rPr>
          <w:rFonts w:cs="Arial"/>
          <w:lang w:val="en-US" w:eastAsia="en-US"/>
        </w:rPr>
      </w:pPr>
      <w:bookmarkStart w:id="12" w:name="_Ref473906658"/>
      <w:r w:rsidRPr="0012133C">
        <w:rPr>
          <w:rFonts w:cs="Arial"/>
          <w:lang w:val="en-US" w:eastAsia="en-US"/>
        </w:rPr>
        <w:t>R1-1700296</w:t>
      </w:r>
      <w:r>
        <w:rPr>
          <w:rFonts w:cs="Arial"/>
          <w:lang w:val="en-US" w:eastAsia="en-US"/>
        </w:rPr>
        <w:t>, “</w:t>
      </w:r>
      <w:r w:rsidRPr="0012133C">
        <w:rPr>
          <w:rFonts w:cs="Arial"/>
          <w:lang w:val="en-US" w:eastAsia="en-US"/>
        </w:rPr>
        <w:t>NR Minimum system information delivery</w:t>
      </w:r>
      <w:r>
        <w:rPr>
          <w:rFonts w:cs="Arial"/>
          <w:lang w:val="en-US" w:eastAsia="en-US"/>
        </w:rPr>
        <w:t xml:space="preserve">”, </w:t>
      </w:r>
      <w:r w:rsidRPr="0012133C">
        <w:rPr>
          <w:rFonts w:cs="Arial"/>
          <w:lang w:val="en-US" w:eastAsia="en-US"/>
        </w:rPr>
        <w:t>Ericsson</w:t>
      </w:r>
      <w:bookmarkEnd w:id="12"/>
    </w:p>
    <w:p w14:paraId="2CA4AFAA" w14:textId="77777777" w:rsidR="004C211F" w:rsidRPr="00D33BE4" w:rsidRDefault="004C211F" w:rsidP="004C211F">
      <w:pPr>
        <w:pStyle w:val="Reference"/>
        <w:rPr>
          <w:rFonts w:cs="Arial"/>
          <w:lang w:val="en-US" w:eastAsia="en-US"/>
        </w:rPr>
      </w:pPr>
      <w:bookmarkStart w:id="13" w:name="_Ref474173944"/>
      <w:r w:rsidRPr="004C211F">
        <w:rPr>
          <w:rFonts w:cs="Arial"/>
          <w:lang w:val="en-US" w:eastAsia="en-US"/>
        </w:rPr>
        <w:t>R2-1701563</w:t>
      </w:r>
      <w:r>
        <w:rPr>
          <w:rFonts w:cs="Arial"/>
          <w:lang w:val="en-US" w:eastAsia="en-US"/>
        </w:rPr>
        <w:t>, “</w:t>
      </w:r>
      <w:r w:rsidRPr="004C211F">
        <w:rPr>
          <w:rFonts w:cs="Arial"/>
          <w:lang w:val="en-US" w:eastAsia="en-US"/>
        </w:rPr>
        <w:t>Further analysis of NR minimum SI at network sharing</w:t>
      </w:r>
      <w:r>
        <w:rPr>
          <w:rFonts w:cs="Arial"/>
          <w:lang w:val="en-US" w:eastAsia="en-US"/>
        </w:rPr>
        <w:t xml:space="preserve">”, </w:t>
      </w:r>
      <w:r w:rsidRPr="004C211F">
        <w:rPr>
          <w:rFonts w:cs="Arial"/>
          <w:lang w:val="en-US" w:eastAsia="en-US"/>
        </w:rPr>
        <w:t>Ericsson</w:t>
      </w:r>
      <w:bookmarkEnd w:id="13"/>
    </w:p>
    <w:p w14:paraId="64DF7E71" w14:textId="35499C7C" w:rsidR="00B31822" w:rsidRDefault="00B31822" w:rsidP="00D33BE4">
      <w:pPr>
        <w:pStyle w:val="Reference"/>
        <w:rPr>
          <w:rFonts w:cs="Arial"/>
          <w:lang w:val="en-US" w:eastAsia="en-US"/>
        </w:rPr>
      </w:pPr>
      <w:bookmarkStart w:id="14" w:name="_Ref471729757"/>
      <w:r w:rsidRPr="00D33BE4">
        <w:rPr>
          <w:rFonts w:cs="Arial"/>
          <w:lang w:val="en-US" w:eastAsia="en-US"/>
        </w:rPr>
        <w:t>R1-16</w:t>
      </w:r>
      <w:bookmarkEnd w:id="14"/>
      <w:r w:rsidR="00D33BE4" w:rsidRPr="00D33BE4">
        <w:rPr>
          <w:rFonts w:cs="Arial"/>
          <w:lang w:val="en-US" w:eastAsia="en-US"/>
        </w:rPr>
        <w:t>11903, “Broadcasting system information by means of SFN-transmission in NR”</w:t>
      </w:r>
      <w:r w:rsidR="00D33BE4">
        <w:rPr>
          <w:rFonts w:cs="Arial"/>
          <w:lang w:val="en-US" w:eastAsia="en-US"/>
        </w:rPr>
        <w:t>, Ericsson</w:t>
      </w:r>
    </w:p>
    <w:sectPr w:rsidR="00B3182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54B38" w14:textId="77777777" w:rsidR="007B674B" w:rsidRDefault="007B674B">
      <w:r>
        <w:separator/>
      </w:r>
    </w:p>
  </w:endnote>
  <w:endnote w:type="continuationSeparator" w:id="0">
    <w:p w14:paraId="42F5AA29" w14:textId="77777777" w:rsidR="007B674B" w:rsidRDefault="007B674B">
      <w:r>
        <w:continuationSeparator/>
      </w:r>
    </w:p>
  </w:endnote>
  <w:endnote w:type="continuationNotice" w:id="1">
    <w:p w14:paraId="0916AA42" w14:textId="77777777" w:rsidR="007B674B" w:rsidRDefault="007B6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2877CFB"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67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674B">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812A1" w14:textId="77777777" w:rsidR="007B674B" w:rsidRDefault="007B674B">
      <w:r>
        <w:separator/>
      </w:r>
    </w:p>
  </w:footnote>
  <w:footnote w:type="continuationSeparator" w:id="0">
    <w:p w14:paraId="0C072FE9" w14:textId="77777777" w:rsidR="007B674B" w:rsidRDefault="007B674B">
      <w:r>
        <w:continuationSeparator/>
      </w:r>
    </w:p>
  </w:footnote>
  <w:footnote w:type="continuationNotice" w:id="1">
    <w:p w14:paraId="5C626CDB" w14:textId="77777777" w:rsidR="007B674B" w:rsidRDefault="007B6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556653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840E77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640D72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4"/>
  </w:num>
  <w:num w:numId="6">
    <w:abstractNumId w:val="23"/>
  </w:num>
  <w:num w:numId="7">
    <w:abstractNumId w:val="30"/>
  </w:num>
  <w:num w:numId="8">
    <w:abstractNumId w:val="15"/>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13"/>
  </w:num>
  <w:num w:numId="16">
    <w:abstractNumId w:val="31"/>
  </w:num>
  <w:num w:numId="17">
    <w:abstractNumId w:val="22"/>
  </w:num>
  <w:num w:numId="18">
    <w:abstractNumId w:val="25"/>
  </w:num>
  <w:num w:numId="19">
    <w:abstractNumId w:val="8"/>
  </w:num>
  <w:num w:numId="20">
    <w:abstractNumId w:val="18"/>
  </w:num>
  <w:num w:numId="21">
    <w:abstractNumId w:val="10"/>
  </w:num>
  <w:num w:numId="22">
    <w:abstractNumId w:val="29"/>
  </w:num>
  <w:num w:numId="23">
    <w:abstractNumId w:val="27"/>
  </w:num>
  <w:num w:numId="24">
    <w:abstractNumId w:val="9"/>
  </w:num>
  <w:num w:numId="25">
    <w:abstractNumId w:val="24"/>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2"/>
  </w:num>
  <w:num w:numId="33">
    <w:abstractNumId w:val="11"/>
  </w:num>
  <w:num w:numId="34">
    <w:abstractNumId w:val="17"/>
  </w:num>
  <w:num w:numId="35">
    <w:abstractNumId w:val="16"/>
  </w:num>
  <w:num w:numId="36">
    <w:abstractNumId w:val="33"/>
  </w:num>
  <w:num w:numId="37">
    <w:abstractNumId w:val="19"/>
  </w:num>
  <w:num w:numId="38">
    <w:abstractNumId w:val="28"/>
    <w:lvlOverride w:ilvl="0">
      <w:startOverride w:val="1"/>
    </w:lvlOverride>
  </w:num>
  <w:num w:numId="39">
    <w:abstractNumId w:val="20"/>
    <w:lvlOverride w:ilvl="0">
      <w:startOverride w:val="1"/>
    </w:lvlOverride>
  </w:num>
  <w:num w:numId="40">
    <w:abstractNumId w:val="20"/>
    <w:lvlOverride w:ilvl="0">
      <w:startOverride w:val="1"/>
    </w:lvlOverride>
  </w:num>
  <w:num w:numId="41">
    <w:abstractNumId w:val="28"/>
    <w:lvlOverride w:ilvl="0">
      <w:startOverride w:val="1"/>
    </w:lvlOverride>
  </w:num>
  <w:num w:numId="42">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17A42"/>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B2719"/>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F06D6"/>
    <w:rsid w:val="000F0839"/>
    <w:rsid w:val="000F0EB1"/>
    <w:rsid w:val="000F1106"/>
    <w:rsid w:val="000F202D"/>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3FF3"/>
    <w:rsid w:val="002B4CE9"/>
    <w:rsid w:val="002C06A9"/>
    <w:rsid w:val="002C41E6"/>
    <w:rsid w:val="002D071A"/>
    <w:rsid w:val="002D1464"/>
    <w:rsid w:val="002D34B2"/>
    <w:rsid w:val="002D4A15"/>
    <w:rsid w:val="002D7225"/>
    <w:rsid w:val="002D7637"/>
    <w:rsid w:val="002E17F2"/>
    <w:rsid w:val="002E4453"/>
    <w:rsid w:val="002E6D28"/>
    <w:rsid w:val="002E7CAE"/>
    <w:rsid w:val="002F2771"/>
    <w:rsid w:val="002F2C04"/>
    <w:rsid w:val="002F37A9"/>
    <w:rsid w:val="002F56C5"/>
    <w:rsid w:val="002F5BBD"/>
    <w:rsid w:val="002F65A8"/>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1FBA"/>
    <w:rsid w:val="00365F79"/>
    <w:rsid w:val="00370E47"/>
    <w:rsid w:val="003742AC"/>
    <w:rsid w:val="003755A2"/>
    <w:rsid w:val="003766F3"/>
    <w:rsid w:val="00377CE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964"/>
    <w:rsid w:val="003C7806"/>
    <w:rsid w:val="003D0CD4"/>
    <w:rsid w:val="003D109F"/>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0AFB"/>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312D"/>
    <w:rsid w:val="00484FD1"/>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4B59"/>
    <w:rsid w:val="00534EEB"/>
    <w:rsid w:val="00536759"/>
    <w:rsid w:val="00537C62"/>
    <w:rsid w:val="005420DA"/>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57B4"/>
    <w:rsid w:val="007571E1"/>
    <w:rsid w:val="007604B2"/>
    <w:rsid w:val="00765281"/>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75A1"/>
    <w:rsid w:val="007C77A5"/>
    <w:rsid w:val="007D04E5"/>
    <w:rsid w:val="007D497F"/>
    <w:rsid w:val="007D5901"/>
    <w:rsid w:val="007D6E96"/>
    <w:rsid w:val="007D7526"/>
    <w:rsid w:val="007E1602"/>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E54"/>
    <w:rsid w:val="00A17F63"/>
    <w:rsid w:val="00A207DD"/>
    <w:rsid w:val="00A214B9"/>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378EF"/>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6E0"/>
    <w:rsid w:val="00BB0976"/>
    <w:rsid w:val="00BB207A"/>
    <w:rsid w:val="00BB2A25"/>
    <w:rsid w:val="00BB2D82"/>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7BB"/>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5985"/>
    <w:rsid w:val="00FA6F0B"/>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25121C8-0B34-428A-AF3B-FA69C7B5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122</TotalTime>
  <Pages>1</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Athens, Greece, 13th- 17th February 2017</vt:lpstr>
      <vt:lpstr>Introduction</vt:lpstr>
      <vt:lpstr>On demand delivery of minimum system information</vt:lpstr>
      <vt:lpstr>NR-SPBCH</vt:lpstr>
      <vt:lpstr>    Payload</vt:lpstr>
      <vt:lpstr>    Periodicity and TTI</vt:lpstr>
      <vt:lpstr>    Beamforming</vt:lpstr>
      <vt:lpstr>    Channel format</vt:lpstr>
      <vt:lpstr>Conclusion</vt:lpstr>
      <vt:lpstr>References</vt:lpstr>
    </vt:vector>
  </TitlesOfParts>
  <Company>Ericsson</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Asbjörn Grövlen</cp:lastModifiedBy>
  <cp:revision>12</cp:revision>
  <cp:lastPrinted>2008-01-31T07:09:00Z</cp:lastPrinted>
  <dcterms:created xsi:type="dcterms:W3CDTF">2017-02-03T13:05:00Z</dcterms:created>
  <dcterms:modified xsi:type="dcterms:W3CDTF">2017-02-07T06:20:00Z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